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4892404c43343d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9337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IVANA GORANA KOVAČIĆA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701.741,15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766.175,70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682.238,98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863.145,63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96.969,93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6.663,05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97.991,06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Na ukupne rashode poslovanja najveći utjecaj imaju rashodi za plaće zaposlenih.  Manjak prihoda poslovanja u iznosu od 96.969,93€ nastao je zbog novog pravilnika o proračunskom računovodstvu gdje se trošak plaće za zaposlene knjiži u mjesecu na koji se plaća odnosi. Time nastaje metodološki manjak a budući da je ukinuta podskupina 193 s 1.1.2025. godine plaća za prosinac 2024. je proknjižena na pripadajuće račune razreda 3, time rashodi za plaće sadrže rashode plaća od prosinca 2024. godine do lipnja 2025.
Manjak prihoda od nefinancijske imovine u iznosu od 1.021,13€ odnosi se na donaciju knjiga te audio (cd) nosača zvuka koji su zaprimljene za školsku knjižnicu od fizičkih osoba, neprofitnih organizacija i trgovačkih društava. U izvještajnom razdoblju u našoj školi nema prihoda od prodaje nefinancijske imovine.
Ukupan manjak prihoda i primitaka poslovanja iznosi 97.991,06€ a manjak prihoda i primitaka za pokriće u idućem razdoblju iznosi 109.353,80€ a odnosi se na plaće za zaposlene, troškove putnih naloga i loko vožnje te materijalne rashode za mjesec lipanj koji se podmiruju u srpnju dio manjka pokriven je i prijenosom sredstava iz proteklog razdoblja u iznosu od 4.992,40€.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w:t>
            </w:r>
          </w:p>
        </w:tc>
      </w:tr>
    </w:tbl>
    <w:p>
      <w:pPr>
        <w:spacing w:before="0" w:after="0"/>
      </w:pPr>
    </w:p>
    <w:p>
      <w:pPr>
        <w:jc w:val="both"/>
        <w:pStyle w:val="Normal"/>
        <w:spacing w:line="240" w:lineRule="auto"/>
      </w:pPr>
      <w:r>
        <w:rPr>
          <w:sz w:val="24"/>
          <w:rFonts w:ascii="Times New Roman" w:hAnsi="Times New Roman"/>
        </w:rPr>
        <w:t>Veći indeks za iznos prihoda koji se bilježi na ovom kontu nastao je kao rezultat rasta plaće pomoćnika u nastavi koji je započeo s 9.9.2024. godine.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tekuće godine ove pozicije povećani su jer je škola zaprimila donacije u naravi; knjige za knjižnicu te audio zapise na cd-u.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496.351,87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645.116,33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bl>
    <w:p>
      <w:pPr>
        <w:spacing w:before="0" w:after="0"/>
      </w:pPr>
    </w:p>
    <w:p>
      <w:pPr>
        <w:jc w:val="both"/>
        <w:pStyle w:val="Normal"/>
        <w:spacing w:line="240" w:lineRule="auto"/>
      </w:pPr>
      <w:r>
        <w:rPr>
          <w:sz w:val="24"/>
          <w:rFonts w:ascii="Times New Roman" w:hAnsi="Times New Roman"/>
        </w:rPr>
        <w:t>Veći iznos isplaćenih rashoda za zaposlene unutar skupine 31 rezultat je povećanja plaća koji je nastao novom uredbom o koeficijentima zaposlenih u osnovnom školstvu ujedno novim pravilnikom o proračunskom računovodstvu rashodi plaće za lipanj ne bilježe se kao kontinuirani rashod već odmah terete mjesec u kojem su nastali.</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pPr>
        <w:jc w:val="both"/>
        <w:pStyle w:val="Normal"/>
        <w:spacing w:line="240" w:lineRule="auto"/>
      </w:pPr>
      <w:r>
        <w:rPr>
          <w:sz w:val="24"/>
          <w:rFonts w:ascii="Times New Roman" w:hAnsi="Times New Roman"/>
        </w:rPr>
        <w:t>Razlog povećanja nabave na ovom kontu je nabava dijagnostičkih testova od Naklade slap d.o.o. za potrebe stručnih službi (defektologinje) u iznosu od 2.775,05€ a sredstva su zaprimljena prema Odluci nadležnog ministarstva.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1114,2</w:t>
            </w:r>
          </w:p>
        </w:tc>
      </w:tr>
    </w:tbl>
    <w:p>
      <w:pPr>
        <w:spacing w:before="0" w:after="0"/>
      </w:pPr>
    </w:p>
    <w:p>
      <w:pPr>
        <w:jc w:val="both"/>
        <w:pStyle w:val="Normal"/>
        <w:spacing w:line="240" w:lineRule="auto"/>
      </w:pPr>
      <w:r>
        <w:rPr>
          <w:sz w:val="24"/>
          <w:rFonts w:ascii="Times New Roman" w:hAnsi="Times New Roman"/>
        </w:rPr>
        <w:t>Značajno povećanje ovog indeksa nastao je iz razloga što je škola imala objavu oglasa za natječaj na radno mjesto ravnatelja škole oglašenog u Narodnim novinama u iznosu od 710,00€.</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w:t>
            </w:r>
          </w:p>
        </w:tc>
      </w:tr>
    </w:tbl>
    <w:p>
      <w:pPr>
        <w:spacing w:before="0" w:after="0"/>
      </w:pPr>
    </w:p>
    <w:p>
      <w:pPr>
        <w:jc w:val="both"/>
        <w:pStyle w:val="Normal"/>
        <w:spacing w:line="240" w:lineRule="auto"/>
      </w:pPr>
      <w:r>
        <w:rPr>
          <w:sz w:val="24"/>
          <w:rFonts w:ascii="Times New Roman" w:hAnsi="Times New Roman"/>
        </w:rPr>
        <w:t>Veći indeks rezultat je obavljene laboratorijske analize vode na teške metale radi nove zakonske obveze. Cijena takve analize bila je 470,00 eura i obavlja se jednom godišnje.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614,9</w:t>
            </w:r>
          </w:p>
        </w:tc>
      </w:tr>
    </w:tbl>
    <w:p>
      <w:pPr>
        <w:spacing w:before="0" w:after="0"/>
      </w:pPr>
    </w:p>
    <w:p>
      <w:pPr>
        <w:jc w:val="both"/>
        <w:pStyle w:val="Normal"/>
        <w:spacing w:line="240" w:lineRule="auto"/>
      </w:pPr>
      <w:r>
        <w:rPr>
          <w:sz w:val="24"/>
          <w:rFonts w:ascii="Times New Roman" w:hAnsi="Times New Roman"/>
        </w:rPr>
        <w:t>Na ovom kontu ove godine bilježimo račun za zbrinjavanje i odvoz elektroničkog otpada koji je nastao prema zapisniku o popisu imovine 2024. godine u iznosu od 299,44€. Navedena usluga u ranijim godinama bila je besplatna.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111.391,87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U ovoj godini knjižena je plaća za lipanj na kontu 96361 kao obračunati prihod poslovanja prema novom pravilniku o proračunskom računovodstvu.</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Nije bilo troškova u prošlom izvještajnom razdoblju za razliku od ove godine jer su zaprimljene donacije u naravi (knjige, cd) od fizičkih osoba, tvrtki te neprofitnih organizacija.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109.353,80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7529,9</w:t>
            </w:r>
          </w:p>
        </w:tc>
      </w:tr>
    </w:tbl>
    <w:p>
      <w:pPr>
        <w:spacing w:before="0" w:after="0"/>
      </w:pPr>
    </w:p>
    <w:p>
      <w:pPr>
        <w:jc w:val="both"/>
        <w:pStyle w:val="Normal"/>
        <w:spacing w:line="240" w:lineRule="auto"/>
      </w:pPr>
      <w:r>
        <w:rPr>
          <w:sz w:val="24"/>
          <w:rFonts w:ascii="Times New Roman" w:hAnsi="Times New Roman"/>
        </w:rPr>
        <w:t>Utvrđeni manjak rezultat je nastao nakon evidencije rashoda koji su dijelom pokriveni prenesenim prihodima iz proteklog razdoblja. Veliki manjak spram proteklog razdoblja nastao je zbog novog pravilnika o proračunskom računovodstvu gdje se trošak plaće za zaposlene knjiži u mjesecu na koji se plaća odnosi. Stoga je škola u metodološkom manjku od 109.353,80 eura.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dospjelih obveza iznosi 5.512,44€ i odnosi se na račune za prehranu učenika za mjesec svibanj u iznosu od 5034,34€ te također jedan račun iz lipnja za prehranu učenika u iznosu od 478,10€ kojima je dospijeće računa isteklo u lipnju. Računi nisu isplaćeni do roka budući da su sredstva kojima se pokriva trošak prehrane stigla na kraju mjeseca lipnja te je zahtjev putem županijske riznice za plaćanje izvršen 1.7.2025. dok za račun za lipanj sredstva trebaju stići u srpnju te biti isplaćena prema zahtjevu za plaćanje u tom istom mjesecu.</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963e0d32bab4159" /></Relationships>
</file>